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B1727">
      <w:pPr>
        <w:jc w:val="center"/>
        <w:rPr>
          <w:rFonts w:hint="eastAsia" w:ascii="方正小标宋简体" w:hAnsi="黑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sz w:val="36"/>
          <w:szCs w:val="36"/>
        </w:rPr>
        <w:t>关于开展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2025年上半年</w:t>
      </w:r>
    </w:p>
    <w:p w14:paraId="4B4C5CAA">
      <w:pPr>
        <w:jc w:val="center"/>
      </w:pPr>
      <w:r>
        <w:rPr>
          <w:rFonts w:hint="eastAsia" w:ascii="方正小标宋简体" w:hAnsi="黑体" w:eastAsia="方正小标宋简体"/>
          <w:sz w:val="36"/>
          <w:szCs w:val="36"/>
        </w:rPr>
        <w:t>本科教育教学审核评估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问题</w:t>
      </w:r>
      <w:r>
        <w:rPr>
          <w:rFonts w:hint="eastAsia" w:ascii="方正小标宋简体" w:hAnsi="黑体" w:eastAsia="方正小标宋简体"/>
          <w:sz w:val="36"/>
          <w:szCs w:val="36"/>
        </w:rPr>
        <w:t>整改销号工作的通知</w:t>
      </w:r>
    </w:p>
    <w:p w14:paraId="4B8BC4EB"/>
    <w:p w14:paraId="4C0E3912">
      <w:pPr>
        <w:rPr>
          <w:rFonts w:hint="eastAsia" w:ascii="仿宋_GB2312" w:hAnsi="宋体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333333"/>
          <w:sz w:val="31"/>
          <w:szCs w:val="31"/>
          <w:shd w:val="clear" w:color="auto" w:fill="FFFFFF"/>
        </w:rPr>
        <w:t>各部门、各学院：</w:t>
      </w:r>
    </w:p>
    <w:p w14:paraId="58B04F3D">
      <w:pPr>
        <w:ind w:firstLine="640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根据省教育厅《黑龙江省“十四五”期间普通高等学校本科教育教学审核评估实施方案》及</w:t>
      </w:r>
      <w:r>
        <w:rPr>
          <w:rFonts w:hint="eastAsia" w:ascii="仿宋_GB2312" w:hAnsi="仿宋_GB2312" w:eastAsia="仿宋_GB2312" w:cs="仿宋_GB2312"/>
          <w:sz w:val="32"/>
          <w:szCs w:val="32"/>
        </w:rPr>
        <w:t>《佳木斯大学本科教育教学审核评估整改方案》（佳大校发〔2024〕71号）工作安排</w:t>
      </w:r>
      <w:r>
        <w:rPr>
          <w:rFonts w:hint="eastAsia" w:ascii="仿宋_GB2312" w:hAnsi="黑体" w:eastAsia="仿宋_GB2312" w:cs="Times New Roman"/>
          <w:sz w:val="32"/>
          <w:szCs w:val="32"/>
        </w:rPr>
        <w:t>，为进一步巩固本科教育教学审核评估成果，持续提升人才培养质量,持续追踪整改进展，确保整改取得实效。现就做好各部门、各学院审核评估整改销号工作通知如下：</w:t>
      </w:r>
    </w:p>
    <w:p w14:paraId="7EDCBFFB"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一、整改销号范围</w:t>
      </w:r>
    </w:p>
    <w:p w14:paraId="15CB4029">
      <w:pPr>
        <w:ind w:firstLine="640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列入学校和学院本科教育教学审核评估《整改台账》，且拟于2025年7月前完成整改的问题。</w:t>
      </w:r>
    </w:p>
    <w:p w14:paraId="316918F9"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二、整改销号要求</w:t>
      </w:r>
    </w:p>
    <w:p w14:paraId="27EFC527">
      <w:pPr>
        <w:ind w:firstLine="643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bCs/>
          <w:sz w:val="32"/>
          <w:szCs w:val="32"/>
        </w:rPr>
        <w:t>1.聚焦问题，确保实效。</w:t>
      </w:r>
      <w:r>
        <w:rPr>
          <w:rFonts w:hint="eastAsia" w:ascii="仿宋_GB2312" w:hAnsi="黑体" w:eastAsia="仿宋_GB2312" w:cs="Times New Roman"/>
          <w:sz w:val="32"/>
          <w:szCs w:val="32"/>
        </w:rPr>
        <w:t>各部门、各学院要严格对标《整改台账》，重点核查、总结2025年7月前需完成的问题，全面梳理整改措施落实情况，有针对性总结整改成效，并提供有力的支撑材料。</w:t>
      </w:r>
    </w:p>
    <w:p w14:paraId="346B2197">
      <w:pPr>
        <w:ind w:firstLine="643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bCs/>
          <w:sz w:val="32"/>
          <w:szCs w:val="32"/>
        </w:rPr>
        <w:t>2.分层推进，责任到人。</w:t>
      </w:r>
      <w:r>
        <w:rPr>
          <w:rFonts w:hint="eastAsia" w:ascii="仿宋_GB2312" w:hAnsi="黑体" w:eastAsia="仿宋_GB2312" w:cs="Times New Roman"/>
          <w:sz w:val="32"/>
          <w:szCs w:val="32"/>
        </w:rPr>
        <w:t>学校层面由</w:t>
      </w:r>
      <w:r>
        <w:rPr>
          <w:rFonts w:hint="eastAsia" w:ascii="仿宋_GB2312" w:hAnsi="仿宋_GB2312" w:eastAsia="仿宋_GB2312" w:cs="仿宋_GB2312"/>
          <w:sz w:val="32"/>
          <w:szCs w:val="32"/>
        </w:rPr>
        <w:t>各责任单位牵头、汇总，协同推进单位积极配合，共同提供材料支撑</w:t>
      </w:r>
      <w:r>
        <w:rPr>
          <w:rFonts w:hint="eastAsia" w:ascii="仿宋_GB2312" w:hAnsi="黑体" w:eastAsia="仿宋_GB2312" w:cs="Times New Roman"/>
          <w:sz w:val="32"/>
          <w:szCs w:val="32"/>
        </w:rPr>
        <w:t>。学院层面由院长负总责，分管教学副院长具体落实，明确任务分工，确保整改工作按期完成。</w:t>
      </w:r>
    </w:p>
    <w:p w14:paraId="0CF46F15">
      <w:pPr>
        <w:ind w:firstLine="643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bCs/>
          <w:sz w:val="32"/>
          <w:szCs w:val="32"/>
        </w:rPr>
        <w:t>3.材料规范，逻辑清晰。</w:t>
      </w:r>
      <w:r>
        <w:rPr>
          <w:rFonts w:hint="eastAsia" w:ascii="仿宋_GB2312" w:hAnsi="黑体" w:eastAsia="仿宋_GB2312" w:cs="Times New Roman"/>
          <w:sz w:val="32"/>
          <w:szCs w:val="32"/>
        </w:rPr>
        <w:t>各部门、各学院要针对需整改问题，突出针对性，采取有效措施予以整改。并针对整改措施综合梳理整改工作开展情况，全面总结提炼工作成效，依据工作成效提供相应支撑材料。支撑材料要与整改措施、问题表现一一对应，逻辑清晰。</w:t>
      </w:r>
    </w:p>
    <w:p w14:paraId="18562836"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三、整改销号流程</w:t>
      </w:r>
    </w:p>
    <w:p w14:paraId="7C60A83F">
      <w:pPr>
        <w:ind w:firstLine="643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bCs/>
          <w:sz w:val="32"/>
          <w:szCs w:val="32"/>
        </w:rPr>
        <w:t>1.学校层面</w:t>
      </w:r>
    </w:p>
    <w:p w14:paraId="3C516035">
      <w:pPr>
        <w:ind w:firstLine="640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整改问题责任部门依据整改任务分工和整改工作实际，认真总结2025年上半年整改工作具体推进情况以及取得的成效。要求文字精练，突出整改实效，数据翔实准确。填写《佳木斯大学2025年上半年本科教育教学审核评估整改工作推进情况汇总表》（附件1），对于2025年7月前销号问题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和推进中问题皆</w:t>
      </w:r>
      <w:r>
        <w:rPr>
          <w:rFonts w:hint="eastAsia" w:ascii="仿宋_GB2312" w:hAnsi="黑体" w:eastAsia="仿宋_GB2312" w:cs="Times New Roman"/>
          <w:sz w:val="32"/>
          <w:szCs w:val="32"/>
        </w:rPr>
        <w:t>需提交相关电子版支撑材料（按整改问题建文件夹，如</w:t>
      </w:r>
      <w:r>
        <w:rPr>
          <w:rFonts w:hint="eastAsia" w:ascii="仿宋_GB2312" w:hAnsi="黑体" w:eastAsia="仿宋_GB2312" w:cs="Times New Roman"/>
          <w:sz w:val="32"/>
          <w:szCs w:val="32"/>
        </w:rPr>
        <w:drawing>
          <wp:inline distT="0" distB="0" distL="114300" distR="114300">
            <wp:extent cx="1219200" cy="314325"/>
            <wp:effectExtent l="0" t="0" r="0" b="9525"/>
            <wp:docPr id="1" name="图片 1" descr="1741567937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15679379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黑体" w:eastAsia="仿宋_GB2312" w:cs="Times New Roman"/>
          <w:sz w:val="32"/>
          <w:szCs w:val="32"/>
        </w:rPr>
        <w:t>）。如是整改后长期坚持的问题需填写“存在的问题和下一步工作计划”一栏。另外，对于未能按时销号的问题请提交书面说明材料，说明材料须报请分管校领导同意，并签字加盖单位公章。</w:t>
      </w:r>
    </w:p>
    <w:p w14:paraId="1C5DBF13">
      <w:pPr>
        <w:ind w:firstLine="643" w:firstLineChars="200"/>
        <w:rPr>
          <w:rFonts w:ascii="楷体_GB2312" w:hAnsi="黑体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bCs/>
          <w:sz w:val="32"/>
          <w:szCs w:val="32"/>
        </w:rPr>
        <w:t>2.学院层面</w:t>
      </w:r>
    </w:p>
    <w:p w14:paraId="18E49AC3">
      <w:pPr>
        <w:ind w:firstLine="640" w:firstLineChars="200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各学院根据《学院本科教育教学审核评估整改方案》《学院本科教育教学审核评估问题清单与整改台账》及2024年学院整改情况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Times New Roman"/>
          <w:sz w:val="32"/>
          <w:szCs w:val="32"/>
        </w:rPr>
        <w:t>填写《XXX学院本科教育教学审核评估整改销号问题清单》（见附件2），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清单中应包含学院</w:t>
      </w:r>
      <w:r>
        <w:rPr>
          <w:rFonts w:hint="eastAsia" w:ascii="仿宋_GB2312" w:hAnsi="黑体" w:eastAsia="仿宋_GB2312" w:cs="Times New Roman"/>
          <w:sz w:val="32"/>
          <w:szCs w:val="32"/>
        </w:rPr>
        <w:t>《整改台账》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所有问题，</w:t>
      </w:r>
      <w:bookmarkStart w:id="0" w:name="OLE_LINK1"/>
      <w:r>
        <w:rPr>
          <w:rFonts w:hint="eastAsia" w:ascii="仿宋_GB2312" w:hAnsi="黑体" w:eastAsia="仿宋_GB2312" w:cs="Times New Roman"/>
          <w:sz w:val="32"/>
          <w:szCs w:val="32"/>
        </w:rPr>
        <w:t>填写整改成效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和支撑材料目录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同时</w:t>
      </w:r>
      <w:r>
        <w:rPr>
          <w:rFonts w:hint="eastAsia" w:ascii="仿宋_GB2312" w:hAnsi="黑体" w:eastAsia="仿宋_GB2312" w:cs="Times New Roman"/>
          <w:sz w:val="32"/>
          <w:szCs w:val="32"/>
        </w:rPr>
        <w:t>提供电子版佐证材料</w:t>
      </w:r>
      <w:bookmarkEnd w:id="0"/>
      <w:r>
        <w:rPr>
          <w:rFonts w:hint="eastAsia" w:ascii="仿宋_GB2312" w:hAnsi="黑体" w:eastAsia="仿宋_GB2312" w:cs="Times New Roman"/>
          <w:sz w:val="32"/>
          <w:szCs w:val="32"/>
        </w:rPr>
        <w:t>（按整改问题建文件夹，如</w:t>
      </w:r>
      <w:r>
        <w:rPr>
          <w:rFonts w:hint="eastAsia" w:ascii="仿宋_GB2312" w:hAnsi="黑体" w:eastAsia="仿宋_GB2312" w:cs="Times New Roman"/>
          <w:sz w:val="32"/>
          <w:szCs w:val="32"/>
        </w:rPr>
        <w:drawing>
          <wp:inline distT="0" distB="0" distL="114300" distR="114300">
            <wp:extent cx="1219200" cy="314325"/>
            <wp:effectExtent l="0" t="0" r="0" b="9525"/>
            <wp:docPr id="2" name="图片 2" descr="1741567937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15679379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黑体" w:eastAsia="仿宋_GB2312" w:cs="Times New Roman"/>
          <w:sz w:val="32"/>
          <w:szCs w:val="32"/>
        </w:rPr>
        <w:t>），对于未能按时销号的问题请在相应栏目填写整改进展情况，同时提交书面报告说明未完成整改原因。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书面报告</w:t>
      </w:r>
      <w:r>
        <w:rPr>
          <w:rFonts w:hint="eastAsia" w:ascii="仿宋_GB2312" w:hAnsi="黑体" w:eastAsia="仿宋_GB2312" w:cs="Times New Roman"/>
          <w:sz w:val="32"/>
          <w:szCs w:val="32"/>
        </w:rPr>
        <w:t>须报请分管校领导同意，并签字加盖单位公章。</w:t>
      </w:r>
    </w:p>
    <w:p w14:paraId="1D13D636">
      <w:pPr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宋体" w:eastAsia="仿宋_GB2312" w:cs="仿宋_GB2312"/>
          <w:color w:val="333333"/>
          <w:sz w:val="31"/>
          <w:szCs w:val="31"/>
          <w:shd w:val="clear" w:color="auto" w:fill="FFFFFF"/>
        </w:rPr>
        <w:t>各部门、各学院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于2025年7月7日下班前将汇总后的附件1（学校层面）、附件2（学院层面）和相关支撑材料电子版发送至电子邮箱shpg@jmsu.edu.cn，联系人：张运香、张宇，联系电话：8618303。</w:t>
      </w:r>
    </w:p>
    <w:p w14:paraId="0BDE08E3">
      <w:pPr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</w:p>
    <w:p w14:paraId="21E2B774">
      <w:pPr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</w:p>
    <w:p w14:paraId="759F7D47">
      <w:pPr>
        <w:ind w:firstLine="640" w:firstLineChars="200"/>
        <w:rPr>
          <w:rFonts w:hint="eastAsia" w:ascii="仿宋_GB2312" w:hAnsi="黑体" w:eastAsia="仿宋_GB2312" w:cs="Times New Roman"/>
          <w:sz w:val="32"/>
          <w:szCs w:val="32"/>
        </w:rPr>
      </w:pPr>
    </w:p>
    <w:p w14:paraId="4E1B06DE">
      <w:pPr>
        <w:ind w:firstLine="3526" w:firstLineChars="1102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发展规划与高教研究中心</w:t>
      </w:r>
    </w:p>
    <w:p w14:paraId="7DE33ED9">
      <w:pPr>
        <w:ind w:firstLine="4198" w:firstLineChars="1312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2025年6月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黑体" w:eastAsia="仿宋_GB2312" w:cs="Times New Roman"/>
          <w:sz w:val="32"/>
          <w:szCs w:val="32"/>
        </w:rPr>
        <w:t>日</w:t>
      </w:r>
    </w:p>
    <w:p w14:paraId="11EF009F">
      <w:pPr>
        <w:ind w:firstLine="640" w:firstLineChars="200"/>
        <w:rPr>
          <w:rFonts w:hint="eastAsia" w:ascii="仿宋_GB2312" w:hAnsi="黑体" w:eastAsia="仿宋_GB2312" w:cs="Times New Roman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861FB4-F6C8-48D8-88DF-31C3934C67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1618BF5-D130-4718-91D8-659AC3DF4D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000F35D-A905-4914-BE27-E6D0D48B35F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3FBBF03-0BC7-482F-883E-327E023D34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32417"/>
    <w:rsid w:val="000156B7"/>
    <w:rsid w:val="00125568"/>
    <w:rsid w:val="001F233A"/>
    <w:rsid w:val="00245DA3"/>
    <w:rsid w:val="007B36C4"/>
    <w:rsid w:val="00DD6ED0"/>
    <w:rsid w:val="00F470C4"/>
    <w:rsid w:val="0D090B32"/>
    <w:rsid w:val="15FA2831"/>
    <w:rsid w:val="22DC6E53"/>
    <w:rsid w:val="25E254E0"/>
    <w:rsid w:val="56732417"/>
    <w:rsid w:val="5CCB3404"/>
    <w:rsid w:val="67E03378"/>
    <w:rsid w:val="6E3B1331"/>
    <w:rsid w:val="7636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1100</Words>
  <Characters>1160</Characters>
  <Lines>28</Lines>
  <Paragraphs>15</Paragraphs>
  <TotalTime>11</TotalTime>
  <ScaleCrop>false</ScaleCrop>
  <LinksUpToDate>false</LinksUpToDate>
  <CharactersWithSpaces>1160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2025-06-16T01:38:00Z</dcterms:created>
  <dc:creator>lenovo</dc:creator>
  <cp:lastModifiedBy>于湘泳</cp:lastModifiedBy>
  <cp:lastPrinted>2025-06-19T03:06:00Z</cp:lastPrinted>
  <dcterms:modified xsi:type="dcterms:W3CDTF">2025-07-18T13:51:16Z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7A2A10276AB34134A48D0D732F3BAA2D_13</vt:lpwstr>
  </property>
  <property fmtid="{D5CDD505-2E9C-101B-9397-08002B2CF9AE}" pid="4" name="KSOTemplateDocerSaveRecord">
    <vt:lpwstr>eyJoZGlkIjoiMGNjYzgyZTU5ZmJmYTIyYzBiNDk4ZDU0NTE3Y2ZjOTgiLCJ1c2VySWQiOiIzMzM3MDgyODgifQ==</vt:lpwstr>
  </property>
</Properties>
</file>